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8ABF" w14:textId="6E53CB1B" w:rsidR="00DA6458" w:rsidRDefault="00DA6458" w:rsidP="00DA6458">
      <w:pPr>
        <w:pStyle w:val="NormalWeb"/>
        <w:jc w:val="center"/>
        <w:rPr>
          <w:rStyle w:val="Strong"/>
        </w:rPr>
      </w:pPr>
      <w:r>
        <w:rPr>
          <w:noProof/>
        </w:rPr>
        <w:drawing>
          <wp:inline distT="0" distB="0" distL="0" distR="0" wp14:anchorId="561BE989" wp14:editId="07DB2389">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2D3A55">
        <w:rPr>
          <w:rStyle w:val="Strong"/>
        </w:rPr>
        <w:t>STEERING COUNCIL</w:t>
      </w:r>
      <w:bookmarkEnd w:id="0"/>
    </w:p>
    <w:p w14:paraId="05818D71" w14:textId="77777777" w:rsidR="00DA6458" w:rsidRPr="00B0472B" w:rsidRDefault="00DA6458" w:rsidP="00DA6458">
      <w:pPr>
        <w:spacing w:before="100" w:beforeAutospacing="1" w:after="100" w:afterAutospacing="1" w:line="240" w:lineRule="auto"/>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 xml:space="preserve">No. ______ Prot., </w:t>
      </w:r>
      <w:r>
        <w:rPr>
          <w:rFonts w:ascii="Times New Roman" w:eastAsia="Times New Roman" w:hAnsi="Times New Roman" w:cs="Times New Roman"/>
          <w:sz w:val="24"/>
          <w:szCs w:val="24"/>
        </w:rPr>
        <w:t xml:space="preserve">                                                                                               </w:t>
      </w:r>
      <w:r w:rsidRPr="00B0472B">
        <w:rPr>
          <w:rFonts w:ascii="Times New Roman" w:eastAsia="Times New Roman" w:hAnsi="Times New Roman" w:cs="Times New Roman"/>
          <w:sz w:val="24"/>
          <w:szCs w:val="24"/>
        </w:rPr>
        <w:t>Dat</w:t>
      </w:r>
      <w:r>
        <w:rPr>
          <w:rFonts w:ascii="Times New Roman" w:eastAsia="Times New Roman" w:hAnsi="Times New Roman" w:cs="Times New Roman"/>
          <w:sz w:val="24"/>
          <w:szCs w:val="24"/>
        </w:rPr>
        <w:t>ë</w:t>
      </w:r>
      <w:r w:rsidRPr="00B0472B">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___.__.</w:t>
      </w:r>
      <w:r w:rsidRPr="00B0472B">
        <w:rPr>
          <w:rFonts w:ascii="Times New Roman" w:eastAsia="Times New Roman" w:hAnsi="Times New Roman" w:cs="Times New Roman"/>
          <w:sz w:val="24"/>
          <w:szCs w:val="24"/>
        </w:rPr>
        <w:t>2025</w:t>
      </w:r>
    </w:p>
    <w:p w14:paraId="47C32889" w14:textId="77777777" w:rsidR="00DA6458" w:rsidRDefault="00962515" w:rsidP="00962515">
      <w:pPr>
        <w:pStyle w:val="NormalWeb"/>
        <w:jc w:val="center"/>
        <w:rPr>
          <w:rStyle w:val="Strong"/>
        </w:rPr>
      </w:pPr>
      <w:r>
        <w:br/>
      </w:r>
      <w:r>
        <w:rPr>
          <w:rStyle w:val="Strong"/>
        </w:rPr>
        <w:t>DECISION</w:t>
      </w:r>
    </w:p>
    <w:p w14:paraId="159C1376" w14:textId="63E79EC7" w:rsidR="00962515" w:rsidRDefault="00962515" w:rsidP="00DA6458">
      <w:pPr>
        <w:pStyle w:val="NormalWeb"/>
        <w:jc w:val="center"/>
      </w:pPr>
      <w:r>
        <w:br/>
        <w:t>No. 24, dated 03.11.2025</w:t>
      </w:r>
    </w:p>
    <w:p w14:paraId="1FA3454D" w14:textId="51185647" w:rsidR="00962515" w:rsidRDefault="00962515" w:rsidP="00DA6458">
      <w:pPr>
        <w:pStyle w:val="NormalWeb"/>
        <w:spacing w:before="0" w:beforeAutospacing="0" w:after="0" w:afterAutospacing="0"/>
        <w:jc w:val="center"/>
        <w:rPr>
          <w:rStyle w:val="Strong"/>
        </w:rPr>
      </w:pPr>
      <w:r>
        <w:rPr>
          <w:rStyle w:val="Strong"/>
        </w:rPr>
        <w:t>ON</w:t>
      </w:r>
      <w:r>
        <w:br/>
      </w:r>
      <w:r>
        <w:rPr>
          <w:rStyle w:val="Strong"/>
        </w:rPr>
        <w:t>APPROVAL FOR PUBLIC CONSULTATION OF THE DOCUMENT:</w:t>
      </w:r>
      <w:r>
        <w:rPr>
          <w:b/>
          <w:bCs/>
        </w:rPr>
        <w:br/>
      </w:r>
      <w:r>
        <w:rPr>
          <w:rStyle w:val="Strong"/>
        </w:rPr>
        <w:t>REGULATION “ON ORGANIZATIONAL AND TECHNICAL MEASURES</w:t>
      </w:r>
      <w:r>
        <w:rPr>
          <w:b/>
          <w:bCs/>
        </w:rPr>
        <w:br/>
      </w:r>
      <w:r>
        <w:rPr>
          <w:rStyle w:val="Strong"/>
        </w:rPr>
        <w:t>FOR ENSURING THE SECURITY OF ELECTRONIC COMMUNICATIONS</w:t>
      </w:r>
      <w:r>
        <w:rPr>
          <w:b/>
          <w:bCs/>
        </w:rPr>
        <w:br/>
      </w:r>
      <w:r>
        <w:rPr>
          <w:rStyle w:val="Strong"/>
        </w:rPr>
        <w:t>NETWORKS AND SERVICES”</w:t>
      </w:r>
    </w:p>
    <w:p w14:paraId="2DB2B2DE" w14:textId="77777777" w:rsidR="00DA6458" w:rsidRDefault="00DA6458" w:rsidP="00DA6458">
      <w:pPr>
        <w:pStyle w:val="NormalWeb"/>
        <w:spacing w:before="0" w:beforeAutospacing="0" w:after="0" w:afterAutospacing="0"/>
        <w:jc w:val="center"/>
      </w:pPr>
    </w:p>
    <w:p w14:paraId="759EAB3F" w14:textId="56EBC0DD" w:rsidR="00DA6458" w:rsidRDefault="000558BB" w:rsidP="00DA6458">
      <w:pPr>
        <w:pStyle w:val="NormalWeb"/>
        <w:spacing w:before="0" w:beforeAutospacing="0" w:after="0" w:afterAutospacing="0"/>
        <w:jc w:val="both"/>
      </w:pPr>
      <w:r>
        <w:t xml:space="preserve">The Steering Council (SC) </w:t>
      </w:r>
      <w:r w:rsidR="00962515">
        <w:t>of the Electronic and Postal Communications Authority (EPCA), with the participation of:</w:t>
      </w:r>
    </w:p>
    <w:p w14:paraId="55A64DA0" w14:textId="3B84B6A8" w:rsidR="00962515" w:rsidRDefault="00962515" w:rsidP="00DA6458">
      <w:pPr>
        <w:pStyle w:val="NormalWeb"/>
        <w:spacing w:before="0" w:beforeAutospacing="0" w:after="0" w:afterAutospacing="0"/>
        <w:jc w:val="center"/>
        <w:rPr>
          <w:b/>
          <w:bCs/>
        </w:rPr>
      </w:pPr>
      <w:r>
        <w:br/>
      </w:r>
      <w:r w:rsidRPr="00B007C9">
        <w:rPr>
          <w:b/>
          <w:bCs/>
        </w:rPr>
        <w:t>Mr. Gentian Sala – Chairman</w:t>
      </w:r>
      <w:r w:rsidRPr="00B007C9">
        <w:rPr>
          <w:b/>
          <w:bCs/>
        </w:rPr>
        <w:br/>
        <w:t>Ms. Edlira Dvorani – Member</w:t>
      </w:r>
      <w:r w:rsidRPr="00B007C9">
        <w:rPr>
          <w:b/>
          <w:bCs/>
        </w:rPr>
        <w:br/>
        <w:t>Mr. Lorenc Bako – Member</w:t>
      </w:r>
      <w:r w:rsidRPr="00B007C9">
        <w:rPr>
          <w:b/>
          <w:bCs/>
        </w:rPr>
        <w:br/>
        <w:t>Mr. Bleron Dokle – Member</w:t>
      </w:r>
      <w:r w:rsidRPr="00B007C9">
        <w:rPr>
          <w:b/>
          <w:bCs/>
        </w:rPr>
        <w:br/>
        <w:t>Mr. Armer Juka – Member</w:t>
      </w:r>
    </w:p>
    <w:p w14:paraId="6D6013DC" w14:textId="77777777" w:rsidR="00DA6458" w:rsidRDefault="00DA6458" w:rsidP="00DA6458">
      <w:pPr>
        <w:pStyle w:val="NormalWeb"/>
        <w:spacing w:before="0" w:beforeAutospacing="0" w:after="0" w:afterAutospacing="0"/>
        <w:jc w:val="center"/>
      </w:pPr>
    </w:p>
    <w:p w14:paraId="67FCC4DF" w14:textId="77777777" w:rsidR="00962515" w:rsidRDefault="00962515" w:rsidP="00DA6458">
      <w:pPr>
        <w:pStyle w:val="NormalWeb"/>
        <w:jc w:val="both"/>
      </w:pPr>
      <w:r>
        <w:t>and secretary Ms. Xhilda Hoxha, in the meeting dated November 3, 2025, pursuant to the procedure defined in Law No. 54/2024 “On Electronic Communications in the Republic of Albania,” and in the Internal Regulation “On the Functioning of the Managing Council of the Electronic and Postal Communications Authority,” approved by Decision No. 7, dated 16.02.2017 of the Managing Council of EPCA, as amended, reviewed the issue with the subject:</w:t>
      </w:r>
    </w:p>
    <w:p w14:paraId="67197F5E" w14:textId="77777777" w:rsidR="00962515" w:rsidRDefault="00962515" w:rsidP="00DA6458">
      <w:pPr>
        <w:pStyle w:val="NormalWeb"/>
        <w:numPr>
          <w:ilvl w:val="0"/>
          <w:numId w:val="1"/>
        </w:numPr>
        <w:jc w:val="both"/>
      </w:pPr>
      <w:r>
        <w:t>“Approval for public consultation of the document: Regulation ‘On organizational and technical measures for ensuring the security of electronic communications networks and services.’”</w:t>
      </w:r>
    </w:p>
    <w:p w14:paraId="5838299D" w14:textId="77777777" w:rsidR="00962515" w:rsidRDefault="00962515" w:rsidP="00E22775">
      <w:pPr>
        <w:pStyle w:val="NormalWeb"/>
        <w:jc w:val="center"/>
      </w:pPr>
      <w:r>
        <w:rPr>
          <w:rStyle w:val="Strong"/>
        </w:rPr>
        <w:t>LEGAL BASIS:</w:t>
      </w:r>
    </w:p>
    <w:p w14:paraId="7DA15E86" w14:textId="77777777" w:rsidR="00962515" w:rsidRDefault="00962515" w:rsidP="00DA6458">
      <w:pPr>
        <w:pStyle w:val="NormalWeb"/>
        <w:numPr>
          <w:ilvl w:val="0"/>
          <w:numId w:val="2"/>
        </w:numPr>
        <w:jc w:val="both"/>
      </w:pPr>
      <w:r>
        <w:t>Point 1 of Article 56 and Point 10 of Article 157 of Law No. 54/2024 “On Electronic Communications in the Republic of Albania.”</w:t>
      </w:r>
    </w:p>
    <w:p w14:paraId="32B42980" w14:textId="77777777" w:rsidR="00962515" w:rsidRDefault="00962515" w:rsidP="00DA6458">
      <w:pPr>
        <w:pStyle w:val="NormalWeb"/>
        <w:numPr>
          <w:ilvl w:val="0"/>
          <w:numId w:val="2"/>
        </w:numPr>
        <w:jc w:val="both"/>
      </w:pPr>
      <w:r>
        <w:lastRenderedPageBreak/>
        <w:t>Regulation “On procedures for notification and public consultation,” approved by Decision No. 21, dated 7.12.2021 of the Managing Council of EPCA.</w:t>
      </w:r>
    </w:p>
    <w:p w14:paraId="520923DD" w14:textId="77777777" w:rsidR="002D3A55" w:rsidRPr="002D3A55" w:rsidRDefault="002D3A55" w:rsidP="002D3A55">
      <w:pPr>
        <w:jc w:val="center"/>
        <w:rPr>
          <w:rFonts w:ascii="Times New Roman" w:hAnsi="Times New Roman" w:cs="Times New Roman"/>
          <w:b/>
          <w:bCs/>
          <w:sz w:val="24"/>
          <w:szCs w:val="24"/>
        </w:rPr>
      </w:pPr>
      <w:bookmarkStart w:id="1" w:name="_Hlk219453587"/>
      <w:r w:rsidRPr="002D3A55">
        <w:rPr>
          <w:rFonts w:ascii="Times New Roman" w:hAnsi="Times New Roman" w:cs="Times New Roman"/>
          <w:b/>
          <w:bCs/>
          <w:sz w:val="24"/>
          <w:szCs w:val="24"/>
        </w:rPr>
        <w:t xml:space="preserve">THE </w:t>
      </w:r>
      <w:r w:rsidRPr="002D3A55">
        <w:rPr>
          <w:rStyle w:val="Strong"/>
          <w:rFonts w:ascii="Times New Roman" w:hAnsi="Times New Roman" w:cs="Times New Roman"/>
          <w:sz w:val="24"/>
          <w:szCs w:val="24"/>
        </w:rPr>
        <w:t>STEERING COUNCIL</w:t>
      </w:r>
      <w:r w:rsidRPr="002D3A55">
        <w:rPr>
          <w:rFonts w:ascii="Times New Roman" w:hAnsi="Times New Roman" w:cs="Times New Roman"/>
          <w:b/>
          <w:bCs/>
          <w:sz w:val="24"/>
          <w:szCs w:val="24"/>
        </w:rPr>
        <w:t>:</w:t>
      </w:r>
    </w:p>
    <w:bookmarkEnd w:id="1"/>
    <w:p w14:paraId="1F7594B7" w14:textId="77777777" w:rsidR="00962515" w:rsidRDefault="00962515" w:rsidP="00DA6458">
      <w:pPr>
        <w:pStyle w:val="NormalWeb"/>
        <w:jc w:val="both"/>
      </w:pPr>
      <w:r>
        <w:t>Upon review of the written documentation consisting of the following:</w:t>
      </w:r>
    </w:p>
    <w:p w14:paraId="7CD6FBEE" w14:textId="77777777" w:rsidR="00962515" w:rsidRDefault="00962515" w:rsidP="00DA6458">
      <w:pPr>
        <w:pStyle w:val="NormalWeb"/>
        <w:numPr>
          <w:ilvl w:val="0"/>
          <w:numId w:val="3"/>
        </w:numPr>
        <w:jc w:val="both"/>
      </w:pPr>
      <w:r>
        <w:t>The document for approval for Public Consultation, the regulation “On organizational and technical measures for ensuring the security of electronic communications networks and services”;</w:t>
      </w:r>
    </w:p>
    <w:p w14:paraId="5E8BD64A" w14:textId="77777777" w:rsidR="00962515" w:rsidRDefault="00962515" w:rsidP="00DA6458">
      <w:pPr>
        <w:pStyle w:val="NormalWeb"/>
        <w:numPr>
          <w:ilvl w:val="0"/>
          <w:numId w:val="3"/>
        </w:numPr>
        <w:jc w:val="both"/>
      </w:pPr>
      <w:r>
        <w:t>The formatted and reasoned draft decision;</w:t>
      </w:r>
    </w:p>
    <w:p w14:paraId="35A8C666" w14:textId="77777777" w:rsidR="00962515" w:rsidRDefault="00962515" w:rsidP="00DA6458">
      <w:pPr>
        <w:pStyle w:val="NormalWeb"/>
        <w:numPr>
          <w:ilvl w:val="0"/>
          <w:numId w:val="3"/>
        </w:numPr>
        <w:jc w:val="both"/>
      </w:pPr>
      <w:r>
        <w:t>The accompanying explanatory report of the draft decision;</w:t>
      </w:r>
    </w:p>
    <w:p w14:paraId="26D01804" w14:textId="77777777" w:rsidR="00962515" w:rsidRDefault="00962515" w:rsidP="00962515">
      <w:pPr>
        <w:pStyle w:val="NormalWeb"/>
        <w:jc w:val="center"/>
      </w:pPr>
      <w:r>
        <w:rPr>
          <w:rStyle w:val="Strong"/>
        </w:rPr>
        <w:t>NOTES THAT:</w:t>
      </w:r>
    </w:p>
    <w:p w14:paraId="18360694" w14:textId="77777777" w:rsidR="00962515" w:rsidRDefault="00962515" w:rsidP="00DA6458">
      <w:pPr>
        <w:pStyle w:val="NormalWeb"/>
        <w:numPr>
          <w:ilvl w:val="0"/>
          <w:numId w:val="4"/>
        </w:numPr>
        <w:jc w:val="both"/>
      </w:pPr>
      <w:r>
        <w:t>The purpose of this regulation is to define the technical and organizational protective measures that providers of public electronic communications networks or publicly available electronic communications services must undertake to ensure the security of their networks and services, to prevent security incidents, and to report them to AKEP. The regulation defines the obligations of operators, the method of incident reporting, impact assessment criteria, as well as the organizational and technical measures to be implemented for cyber protection.</w:t>
      </w:r>
    </w:p>
    <w:p w14:paraId="6BA72D49" w14:textId="77777777" w:rsidR="00962515" w:rsidRDefault="00962515" w:rsidP="00DA6458">
      <w:pPr>
        <w:pStyle w:val="NormalWeb"/>
        <w:numPr>
          <w:ilvl w:val="0"/>
          <w:numId w:val="4"/>
        </w:numPr>
        <w:jc w:val="both"/>
      </w:pPr>
      <w:r>
        <w:t>In the context of rapid technological developments and the increasing cyber threats to electronic communications networks, it has become necessary to update the regulatory framework in the field of cybersecurity. Law No. 54/2024 has assigned AKEP the obligation to establish detailed rules on the measures that operators must take to ensure the security and integrity of their networks. This regulation aims to create a unified standard for all operators, in line with best national and international practices, ensuring user protection and the stable functioning of national networks.</w:t>
      </w:r>
    </w:p>
    <w:p w14:paraId="07813B57" w14:textId="77777777" w:rsidR="00962515" w:rsidRDefault="00962515" w:rsidP="00DA6458">
      <w:pPr>
        <w:pStyle w:val="NormalWeb"/>
        <w:numPr>
          <w:ilvl w:val="0"/>
          <w:numId w:val="4"/>
        </w:numPr>
        <w:jc w:val="both"/>
      </w:pPr>
      <w:r>
        <w:t>The draft act is prepared in full compliance with the provisions of Law No. 54/2024, specifically:</w:t>
      </w:r>
      <w:r>
        <w:br/>
        <w:t>a. Article 56, point 1, which entrusts AKEP with supervising the implementation of Article 54 regarding the adoption of technical and organizational protective measures by providers of public electronic communications networks or publicly available electronic communications services, in order to ensure the security and integrity of public electronic communications networks;</w:t>
      </w:r>
      <w:r>
        <w:br/>
        <w:t>b. Article 157, point 10, which establishes the obligation of the authority to determine standards and procedures for the notification, reporting, and handling of incidents affecting the operation of public electronic communications networks.</w:t>
      </w:r>
    </w:p>
    <w:p w14:paraId="03CE28CA" w14:textId="77777777" w:rsidR="00962515" w:rsidRDefault="00962515" w:rsidP="00DA6458">
      <w:pPr>
        <w:pStyle w:val="NormalWeb"/>
        <w:numPr>
          <w:ilvl w:val="0"/>
          <w:numId w:val="4"/>
        </w:numPr>
        <w:jc w:val="both"/>
      </w:pPr>
      <w:r>
        <w:t>The draft act provides detailed measures at two levels:</w:t>
      </w:r>
      <w:r>
        <w:br/>
        <w:t xml:space="preserve">a. </w:t>
      </w:r>
      <w:r>
        <w:rPr>
          <w:rStyle w:val="Strong"/>
        </w:rPr>
        <w:t>Organizational measures</w:t>
      </w:r>
      <w:r>
        <w:t xml:space="preserve"> – internal security policies, risk management, staff training, service continuity, and audits;</w:t>
      </w:r>
      <w:r>
        <w:br/>
        <w:t xml:space="preserve">b. </w:t>
      </w:r>
      <w:r>
        <w:rPr>
          <w:rStyle w:val="Strong"/>
        </w:rPr>
        <w:t>Technical and operational measures</w:t>
      </w:r>
      <w:r>
        <w:t xml:space="preserve"> – access control, encryption, protection against DDoS attacks, device hardening, network segmentation, incident detection and prevention.</w:t>
      </w:r>
    </w:p>
    <w:p w14:paraId="16FF78FE" w14:textId="77777777" w:rsidR="00962515" w:rsidRDefault="00962515" w:rsidP="00DA6458">
      <w:pPr>
        <w:pStyle w:val="NormalWeb"/>
        <w:jc w:val="both"/>
      </w:pPr>
      <w:r>
        <w:lastRenderedPageBreak/>
        <w:t>These measures are mandatory for all authorized operators and aim at the prevention, protection, and recovery from security incidents.</w:t>
      </w:r>
    </w:p>
    <w:p w14:paraId="334D3A40" w14:textId="77777777" w:rsidR="00962515" w:rsidRDefault="00962515" w:rsidP="00DA6458">
      <w:pPr>
        <w:pStyle w:val="NormalWeb"/>
        <w:numPr>
          <w:ilvl w:val="0"/>
          <w:numId w:val="5"/>
        </w:numPr>
        <w:jc w:val="both"/>
      </w:pPr>
      <w:r>
        <w:t>The document for public consultation: “Regulation on organizational and technical measures for ensuring the security of electronic communications networks and services” is an important regulatory document prepared within the framework of AKEP’s drafting of the relevant secondary legislation necessary for the implementation of Law No. 54/2024;</w:t>
      </w:r>
    </w:p>
    <w:p w14:paraId="34C08809" w14:textId="77777777" w:rsidR="00962515" w:rsidRDefault="00962515" w:rsidP="00DA6458">
      <w:pPr>
        <w:pStyle w:val="NormalWeb"/>
        <w:numPr>
          <w:ilvl w:val="0"/>
          <w:numId w:val="5"/>
        </w:numPr>
        <w:jc w:val="both"/>
      </w:pPr>
      <w:r>
        <w:t>From a legal standpoint, it is consistent with the provisions of point 1 of Article 56 and point 10 of Article 157 of Law No. 54/2024.</w:t>
      </w:r>
    </w:p>
    <w:p w14:paraId="592F927E" w14:textId="77777777" w:rsidR="00962515" w:rsidRDefault="00962515" w:rsidP="00DA6458">
      <w:pPr>
        <w:pStyle w:val="NormalWeb"/>
        <w:jc w:val="both"/>
      </w:pPr>
      <w:r>
        <w:t>Based on Articles 44 and 45 of Law No. 54/2024 and the Regulation “On procedures for notification and public consultation,” approved by Decision No. 21, dated 07.12.2021 of the Managing Council of AKEP, the document approved by this decision shall be issued for public consultation in order to obtain the opinions of interested parties.</w:t>
      </w:r>
    </w:p>
    <w:p w14:paraId="1113C1B8" w14:textId="77777777" w:rsidR="00962515" w:rsidRDefault="00962515" w:rsidP="00962515">
      <w:pPr>
        <w:pStyle w:val="NormalWeb"/>
        <w:jc w:val="center"/>
      </w:pPr>
      <w:r>
        <w:rPr>
          <w:rStyle w:val="Strong"/>
        </w:rPr>
        <w:t>FOR THESE REASONS:</w:t>
      </w:r>
    </w:p>
    <w:p w14:paraId="3DFB706F" w14:textId="77777777" w:rsidR="00962515" w:rsidRDefault="00962515" w:rsidP="00DA6458">
      <w:pPr>
        <w:pStyle w:val="NormalWeb"/>
        <w:jc w:val="both"/>
      </w:pPr>
      <w:r>
        <w:t>Pursuant to point 1 of Articles 14 and 15 of Law No. 54/2024 “On Electronic Communications in the Republic of Albania,” the Managing Council of AKEP</w:t>
      </w:r>
    </w:p>
    <w:p w14:paraId="72151BD3" w14:textId="0EEF0002" w:rsidR="00962515" w:rsidRDefault="00962515" w:rsidP="00962515">
      <w:pPr>
        <w:pStyle w:val="NormalWeb"/>
        <w:jc w:val="center"/>
      </w:pPr>
      <w:r>
        <w:rPr>
          <w:rStyle w:val="Strong"/>
        </w:rPr>
        <w:t>DECIDES:</w:t>
      </w:r>
    </w:p>
    <w:p w14:paraId="2ED97520" w14:textId="77777777" w:rsidR="00962515" w:rsidRDefault="00962515" w:rsidP="00DA6458">
      <w:pPr>
        <w:pStyle w:val="NormalWeb"/>
        <w:numPr>
          <w:ilvl w:val="0"/>
          <w:numId w:val="6"/>
        </w:numPr>
        <w:jc w:val="both"/>
      </w:pPr>
      <w:r>
        <w:t>To approve the issuance for public consultation of the document, the regulation “On organizational and technical measures for ensuring the security of electronic communications networks and services,” as attached to this decision.</w:t>
      </w:r>
    </w:p>
    <w:p w14:paraId="676F0FAF" w14:textId="77777777" w:rsidR="00962515" w:rsidRDefault="00962515" w:rsidP="00DA6458">
      <w:pPr>
        <w:pStyle w:val="NormalWeb"/>
        <w:numPr>
          <w:ilvl w:val="0"/>
          <w:numId w:val="6"/>
        </w:numPr>
        <w:jc w:val="both"/>
      </w:pPr>
      <w:r>
        <w:t>The public consultation procedure shall be conducted for a period of 30 days from the date of publication of the document in accordance with point 3 of this decision.</w:t>
      </w:r>
    </w:p>
    <w:p w14:paraId="2AB99C38" w14:textId="77777777" w:rsidR="00962515" w:rsidRDefault="00962515" w:rsidP="00DA6458">
      <w:pPr>
        <w:pStyle w:val="NormalWeb"/>
        <w:numPr>
          <w:ilvl w:val="0"/>
          <w:numId w:val="6"/>
        </w:numPr>
        <w:jc w:val="both"/>
      </w:pPr>
      <w:r>
        <w:t>This Decision and the Document for public consultation, the regulation “On organizational and technical measures for ensuring the security of electronic communications networks and services,” shall be published on the website www.akep.al.</w:t>
      </w:r>
    </w:p>
    <w:p w14:paraId="2DAADC8C" w14:textId="77777777" w:rsidR="00962515" w:rsidRDefault="00962515" w:rsidP="00DA6458">
      <w:pPr>
        <w:pStyle w:val="NormalWeb"/>
        <w:numPr>
          <w:ilvl w:val="0"/>
          <w:numId w:val="6"/>
        </w:numPr>
        <w:jc w:val="both"/>
      </w:pPr>
      <w:r>
        <w:t>The Directorate of Technology and Information Security is tasked with following up and implementing this decision.</w:t>
      </w:r>
    </w:p>
    <w:p w14:paraId="0EDBB649" w14:textId="19E6CE0B" w:rsidR="00962515" w:rsidRDefault="00962515" w:rsidP="00DA6458">
      <w:pPr>
        <w:pStyle w:val="NormalWeb"/>
        <w:jc w:val="both"/>
      </w:pPr>
      <w:r>
        <w:t>This decision enters into force immediately.</w:t>
      </w:r>
    </w:p>
    <w:p w14:paraId="467B3DDC" w14:textId="77777777" w:rsidR="00DA6458" w:rsidRDefault="00DA6458" w:rsidP="00DA6458">
      <w:pPr>
        <w:pStyle w:val="NormalWeb"/>
        <w:jc w:val="center"/>
      </w:pPr>
    </w:p>
    <w:p w14:paraId="39A2D7E5" w14:textId="77777777" w:rsidR="00DA6458" w:rsidRPr="00DA6458" w:rsidRDefault="00DA6458" w:rsidP="00DA6458">
      <w:pPr>
        <w:jc w:val="center"/>
        <w:rPr>
          <w:rFonts w:ascii="Times New Roman" w:eastAsia="Times New Roman" w:hAnsi="Times New Roman" w:cs="Times New Roman"/>
          <w:b/>
          <w:bCs/>
          <w:sz w:val="24"/>
          <w:szCs w:val="24"/>
        </w:rPr>
      </w:pPr>
      <w:bookmarkStart w:id="2" w:name="_Hlk214437638"/>
      <w:r w:rsidRPr="00DA6458">
        <w:rPr>
          <w:rFonts w:ascii="Times New Roman" w:eastAsia="Times New Roman" w:hAnsi="Times New Roman" w:cs="Times New Roman"/>
          <w:b/>
          <w:bCs/>
          <w:sz w:val="24"/>
          <w:szCs w:val="24"/>
        </w:rPr>
        <w:t>Chairman</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xml:space="preserve">    Member</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xml:space="preserve">      Member</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xml:space="preserve">        Member</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xml:space="preserve">     Member</w:t>
      </w:r>
    </w:p>
    <w:p w14:paraId="374151D5" w14:textId="77777777" w:rsidR="00DA6458" w:rsidRPr="00DA6458" w:rsidRDefault="00DA6458" w:rsidP="00DA6458">
      <w:pPr>
        <w:jc w:val="center"/>
        <w:rPr>
          <w:rFonts w:ascii="Times New Roman" w:eastAsia="Times New Roman" w:hAnsi="Times New Roman" w:cs="Times New Roman"/>
          <w:b/>
          <w:bCs/>
          <w:sz w:val="24"/>
          <w:szCs w:val="24"/>
        </w:rPr>
      </w:pPr>
      <w:r w:rsidRPr="00DA6458">
        <w:rPr>
          <w:rFonts w:ascii="Times New Roman" w:eastAsia="Times New Roman" w:hAnsi="Times New Roman" w:cs="Times New Roman"/>
          <w:b/>
          <w:bCs/>
          <w:sz w:val="24"/>
          <w:szCs w:val="24"/>
        </w:rPr>
        <w:t>Gentian Sala</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Edlira Dvorani</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Lorenc Bako</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Bleron Dokle</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 </w:t>
      </w:r>
      <w:r w:rsidRPr="00DA6458">
        <w:rPr>
          <w:rFonts w:ascii="Times New Roman" w:eastAsia="Times New Roman" w:hAnsi="Times New Roman" w:cs="Times New Roman"/>
          <w:b/>
          <w:bCs/>
          <w:sz w:val="24"/>
          <w:szCs w:val="24"/>
        </w:rPr>
        <w:t>Armer Juka</w:t>
      </w:r>
      <w:bookmarkEnd w:id="2"/>
    </w:p>
    <w:p w14:paraId="584A5776" w14:textId="77777777" w:rsidR="00CA4F47" w:rsidRDefault="00CA4F47"/>
    <w:sectPr w:rsidR="00CA4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EA72" w14:textId="77777777" w:rsidR="00F555CF" w:rsidRDefault="00F555CF" w:rsidP="00DA6458">
      <w:pPr>
        <w:spacing w:after="0" w:line="240" w:lineRule="auto"/>
      </w:pPr>
      <w:r>
        <w:separator/>
      </w:r>
    </w:p>
  </w:endnote>
  <w:endnote w:type="continuationSeparator" w:id="0">
    <w:p w14:paraId="25437560" w14:textId="77777777" w:rsidR="00F555CF" w:rsidRDefault="00F555CF" w:rsidP="00DA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AFA2" w14:textId="77777777" w:rsidR="00F555CF" w:rsidRDefault="00F555CF" w:rsidP="00DA6458">
      <w:pPr>
        <w:spacing w:after="0" w:line="240" w:lineRule="auto"/>
      </w:pPr>
      <w:r>
        <w:separator/>
      </w:r>
    </w:p>
  </w:footnote>
  <w:footnote w:type="continuationSeparator" w:id="0">
    <w:p w14:paraId="5ABB44FE" w14:textId="77777777" w:rsidR="00F555CF" w:rsidRDefault="00F555CF" w:rsidP="00DA6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A05"/>
    <w:multiLevelType w:val="multilevel"/>
    <w:tmpl w:val="C658C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24E2E"/>
    <w:multiLevelType w:val="multilevel"/>
    <w:tmpl w:val="1B48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91B80"/>
    <w:multiLevelType w:val="multilevel"/>
    <w:tmpl w:val="7CDA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E1BB3"/>
    <w:multiLevelType w:val="multilevel"/>
    <w:tmpl w:val="D69E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A1E5C"/>
    <w:multiLevelType w:val="multilevel"/>
    <w:tmpl w:val="C822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02B9C"/>
    <w:multiLevelType w:val="multilevel"/>
    <w:tmpl w:val="7F54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15"/>
    <w:rsid w:val="000558BB"/>
    <w:rsid w:val="001A02A8"/>
    <w:rsid w:val="002D3A55"/>
    <w:rsid w:val="0047189C"/>
    <w:rsid w:val="00892D8B"/>
    <w:rsid w:val="008A7C53"/>
    <w:rsid w:val="00920C4C"/>
    <w:rsid w:val="00962515"/>
    <w:rsid w:val="00A235BE"/>
    <w:rsid w:val="00B007C9"/>
    <w:rsid w:val="00CA4F47"/>
    <w:rsid w:val="00DA6458"/>
    <w:rsid w:val="00DB7AC2"/>
    <w:rsid w:val="00E22775"/>
    <w:rsid w:val="00E53086"/>
    <w:rsid w:val="00F5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515A"/>
  <w15:chartTrackingRefBased/>
  <w15:docId w15:val="{9CDB606D-C160-48EB-937A-B813609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5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15"/>
    <w:rPr>
      <w:b/>
      <w:bCs/>
    </w:rPr>
  </w:style>
  <w:style w:type="paragraph" w:styleId="Header">
    <w:name w:val="header"/>
    <w:basedOn w:val="Normal"/>
    <w:link w:val="HeaderChar"/>
    <w:uiPriority w:val="99"/>
    <w:unhideWhenUsed/>
    <w:rsid w:val="00DA6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58"/>
  </w:style>
  <w:style w:type="paragraph" w:styleId="Footer">
    <w:name w:val="footer"/>
    <w:basedOn w:val="Normal"/>
    <w:link w:val="FooterChar"/>
    <w:uiPriority w:val="99"/>
    <w:unhideWhenUsed/>
    <w:rsid w:val="00DA6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58"/>
  </w:style>
  <w:style w:type="paragraph" w:styleId="ListParagraph">
    <w:name w:val="List Paragraph"/>
    <w:basedOn w:val="Normal"/>
    <w:uiPriority w:val="34"/>
    <w:qFormat/>
    <w:rsid w:val="002D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7916">
      <w:bodyDiv w:val="1"/>
      <w:marLeft w:val="0"/>
      <w:marRight w:val="0"/>
      <w:marTop w:val="0"/>
      <w:marBottom w:val="0"/>
      <w:divBdr>
        <w:top w:val="none" w:sz="0" w:space="0" w:color="auto"/>
        <w:left w:val="none" w:sz="0" w:space="0" w:color="auto"/>
        <w:bottom w:val="none" w:sz="0" w:space="0" w:color="auto"/>
        <w:right w:val="none" w:sz="0" w:space="0" w:color="auto"/>
      </w:divBdr>
    </w:div>
    <w:div w:id="1071152746">
      <w:bodyDiv w:val="1"/>
      <w:marLeft w:val="0"/>
      <w:marRight w:val="0"/>
      <w:marTop w:val="0"/>
      <w:marBottom w:val="0"/>
      <w:divBdr>
        <w:top w:val="none" w:sz="0" w:space="0" w:color="auto"/>
        <w:left w:val="none" w:sz="0" w:space="0" w:color="auto"/>
        <w:bottom w:val="none" w:sz="0" w:space="0" w:color="auto"/>
        <w:right w:val="none" w:sz="0" w:space="0" w:color="auto"/>
      </w:divBdr>
    </w:div>
    <w:div w:id="20896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9</cp:revision>
  <dcterms:created xsi:type="dcterms:W3CDTF">2026-01-16T08:09:00Z</dcterms:created>
  <dcterms:modified xsi:type="dcterms:W3CDTF">2026-01-16T10:17:00Z</dcterms:modified>
</cp:coreProperties>
</file>